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58843086"/>
      <w:bookmarkStart w:id="1" w:name="_Toc458070424"/>
      <w:bookmarkStart w:id="2" w:name="_Toc458013464"/>
      <w:bookmarkStart w:id="3" w:name="_Toc457825555"/>
      <w:bookmarkStart w:id="4" w:name="_Toc457918239"/>
      <w:bookmarkStart w:id="5" w:name="_Toc457921067"/>
      <w:bookmarkStart w:id="6" w:name="_Toc457920212"/>
      <w:bookmarkStart w:id="7" w:name="_Toc457825846"/>
      <w:r>
        <w:rPr>
          <w:rFonts w:hint="eastAsia" w:eastAsia="宋体"/>
          <w:lang w:eastAsia="zh-CN"/>
        </w:rPr>
        <w:t>审计</w:t>
      </w:r>
      <w:r>
        <w:rPr>
          <w:rFonts w:hint="eastAsia"/>
        </w:rPr>
        <w:t>硕士专业学位研究生入学考试</w:t>
      </w:r>
      <w:bookmarkEnd w:id="0"/>
    </w:p>
    <w:p>
      <w:pPr>
        <w:pStyle w:val="2"/>
      </w:pPr>
      <w:bookmarkStart w:id="8" w:name="_Toc458843087"/>
      <w:r>
        <w:rPr>
          <w:rFonts w:hint="eastAsia"/>
        </w:rPr>
        <w:t>复试阶段专业课指导性大纲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第一部分 财务会计（占专业课50%）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第一章 总论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财务报告目标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会计基本假设与会计基础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会计信息质量要求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会计要素及其确认与计量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第五节 财务报告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第二章 金融资产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金融资产的定义和分类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交易性金融资产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持有至到期投资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第三章 存货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存货的确认和初始计量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发出存货的计量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期末存货的计量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第四章 长期股权投资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长期股权投资的初始计量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长期股权投资的后续计量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第五章 固定资产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固定资产的确认和初始计量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固定资产的后续计量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固定资产的处置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第六章 无形资产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无形资产的确认和初始计量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研究与开发支出的确认和计量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无形资产的后续计量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无形资产的处置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第七章 负债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流动负债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非流动负债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第八章 所有者权益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实收资本（股本）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资本公积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留存收益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第九章 收入、费用和利润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收入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费用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利润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第十章 财务报告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财务报告概述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资产负债表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利润表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现金流量表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第十一章 资产负债表日后事项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资产负债表日后事项概述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调整事项的会计处理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非调整事项的会计处理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第十二章  会计政策、会计估计变更和差错更正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bookmarkStart w:id="9" w:name="_GoBack"/>
      <w:bookmarkEnd w:id="9"/>
      <w:r>
        <w:rPr>
          <w:rFonts w:hint="eastAsia" w:asciiTheme="majorEastAsia" w:hAnsiTheme="majorEastAsia" w:eastAsiaTheme="majorEastAsia"/>
          <w:sz w:val="24"/>
          <w:szCs w:val="24"/>
        </w:rPr>
        <w:t>第一节 会计政策及其变更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会计估计及其变更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前期差错及其更正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Theme="majorEastAsia" w:hAnsiTheme="majorEastAsia" w:eastAsiaTheme="majorEastAsia"/>
          <w:color w:val="545353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Theme="majorEastAsia" w:hAnsiTheme="majorEastAsia" w:eastAsiaTheme="majorEastAsia"/>
          <w:color w:val="545353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 w:asciiTheme="majorEastAsia" w:hAnsiTheme="majorEastAsia" w:eastAsiaTheme="majorEastAsia"/>
          <w:color w:val="545353"/>
        </w:rPr>
      </w:pPr>
    </w:p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第二部分  审计  50%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 </w:t>
      </w:r>
      <w:r>
        <w:rPr>
          <w:rFonts w:hint="eastAsia" w:asciiTheme="majorEastAsia" w:hAnsiTheme="majorEastAsia" w:eastAsiaTheme="majorEastAsia"/>
          <w:sz w:val="24"/>
          <w:szCs w:val="24"/>
        </w:rPr>
        <w:t>第一章  总论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审计的产生与发展</w:t>
      </w:r>
    </w:p>
    <w:p>
      <w:pPr>
        <w:spacing w:after="0" w:line="360" w:lineRule="auto"/>
        <w:ind w:firstLine="460" w:firstLineChars="192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审计的涵义与特征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 审计的对象与职能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  审计的种类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第二章  注册会计师职业道德与法律责任</w:t>
      </w:r>
    </w:p>
    <w:p>
      <w:pPr>
        <w:spacing w:after="0" w:line="360" w:lineRule="auto"/>
        <w:ind w:firstLine="435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注册会计师职业道德</w:t>
      </w:r>
    </w:p>
    <w:p>
      <w:pPr>
        <w:spacing w:after="0" w:line="360" w:lineRule="auto"/>
        <w:ind w:left="-895" w:leftChars="-407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注册会计师法律责任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第三章  审计过程与审计目标</w:t>
      </w:r>
    </w:p>
    <w:p>
      <w:pPr>
        <w:spacing w:after="0" w:line="360" w:lineRule="auto"/>
        <w:ind w:firstLine="435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审计目标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第四章  审计证据与审计工作底稿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审计证据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审计工作底稿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第五章  审计重要性和审计风险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审计重要性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审计风险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第六章  内部控制概述</w:t>
      </w:r>
    </w:p>
    <w:p>
      <w:pPr>
        <w:spacing w:after="0" w:line="360" w:lineRule="auto"/>
        <w:ind w:firstLine="42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内部控制的涵义与要素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内部控制的目标、原则与局限性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第七章  风险评估与应对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风险评估程序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控制测试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第八章  销售与收款循环审计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应收账款审计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主营业务收入审计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第九章  购货与付款循环审计</w:t>
      </w:r>
    </w:p>
    <w:p>
      <w:pPr>
        <w:spacing w:after="0" w:line="360" w:lineRule="auto"/>
        <w:ind w:left="-880" w:leftChars="-400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应付账款审计</w:t>
      </w:r>
    </w:p>
    <w:p>
      <w:pPr>
        <w:spacing w:after="0" w:line="360" w:lineRule="auto"/>
        <w:ind w:left="-880" w:leftChars="-400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固定资产审计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第十章  货币资金审计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库存现金审计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银行存款审计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第十一章  审计报告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审计报告编制前的工作</w:t>
      </w:r>
    </w:p>
    <w:p>
      <w:pPr>
        <w:spacing w:after="0" w:line="360" w:lineRule="auto"/>
        <w:ind w:firstLine="600" w:firstLineChars="2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审计报告概述</w:t>
      </w:r>
    </w:p>
    <w:p>
      <w:pPr>
        <w:spacing w:after="0" w:line="360" w:lineRule="auto"/>
        <w:ind w:firstLine="600" w:firstLineChars="2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 审计报告的类型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第十二章 政府审计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第一节 政府审计的主体与对象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第二节 政府审计的本质、分类与目标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第三节 政府审计的组织模式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第四节 政府审计与内部审计、注册会计师审计的关系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第十三章  内部审计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内部审计的职能与对象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第二节 内部审计的种类与方法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内部审计与内部控制的关系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※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 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请考生关注最新审计法律法规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TZho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90C3F"/>
    <w:multiLevelType w:val="multilevel"/>
    <w:tmpl w:val="1F790C3F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GU0NzRhOTZiZGE3Y2RiOGM2Y2IxNDgyM2UyYzIifQ=="/>
  </w:docVars>
  <w:rsids>
    <w:rsidRoot w:val="00D31D50"/>
    <w:rsid w:val="00323B43"/>
    <w:rsid w:val="003D37D8"/>
    <w:rsid w:val="00426133"/>
    <w:rsid w:val="004358AB"/>
    <w:rsid w:val="004E6F38"/>
    <w:rsid w:val="008B7726"/>
    <w:rsid w:val="00D31D50"/>
    <w:rsid w:val="00EA5FCA"/>
    <w:rsid w:val="02B07F67"/>
    <w:rsid w:val="09223103"/>
    <w:rsid w:val="0A2171C1"/>
    <w:rsid w:val="25F25A03"/>
    <w:rsid w:val="2BBF3A38"/>
    <w:rsid w:val="4B977B52"/>
    <w:rsid w:val="63E57DF0"/>
    <w:rsid w:val="74137120"/>
    <w:rsid w:val="7A5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adjustRightInd/>
      <w:snapToGrid/>
      <w:spacing w:before="240" w:after="240" w:line="360" w:lineRule="auto"/>
      <w:jc w:val="center"/>
      <w:outlineLvl w:val="0"/>
    </w:pPr>
    <w:rPr>
      <w:rFonts w:ascii="Times New Roman" w:hAnsi="Times New Roman" w:eastAsia="STZhongsong" w:cs="Times New Roman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1050</Words>
  <Characters>1054</Characters>
  <Lines>8</Lines>
  <Paragraphs>2</Paragraphs>
  <TotalTime>29</TotalTime>
  <ScaleCrop>false</ScaleCrop>
  <LinksUpToDate>false</LinksUpToDate>
  <CharactersWithSpaces>1205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๑• . •๑</cp:lastModifiedBy>
  <dcterms:modified xsi:type="dcterms:W3CDTF">2023-03-07T05:55:42Z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A241A9AA9AAA4585AB8ECF114F19D9B4</vt:lpwstr>
  </property>
</Properties>
</file>