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9" w:name="_GoBack"/>
      <w:bookmarkStart w:id="0" w:name="_Toc458843086"/>
      <w:bookmarkStart w:id="1" w:name="_Toc458013464"/>
      <w:bookmarkStart w:id="2" w:name="_Toc458070424"/>
      <w:bookmarkStart w:id="3" w:name="_Toc457825846"/>
      <w:bookmarkStart w:id="4" w:name="_Toc457921067"/>
      <w:bookmarkStart w:id="5" w:name="_Toc457920212"/>
      <w:bookmarkStart w:id="6" w:name="_Toc457825555"/>
      <w:bookmarkStart w:id="7" w:name="_Toc457918239"/>
      <w:r>
        <w:rPr>
          <w:rFonts w:hint="eastAsia"/>
        </w:rPr>
        <w:t>会计硕士专业学位研究生入学考试</w:t>
      </w:r>
      <w:bookmarkEnd w:id="0"/>
    </w:p>
    <w:p>
      <w:pPr>
        <w:pStyle w:val="2"/>
        <w:rPr>
          <w:rFonts w:ascii="宋体" w:hAnsi="宋体" w:cs="宋体"/>
          <w:color w:val="333333"/>
        </w:rPr>
      </w:pPr>
      <w:bookmarkStart w:id="8" w:name="_Toc458843087"/>
      <w:r>
        <w:rPr>
          <w:rFonts w:hint="eastAsia"/>
        </w:rPr>
        <w:t>复试阶段专业课指导性大纲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>
      <w:pPr>
        <w:spacing w:after="0" w:line="500" w:lineRule="exact"/>
        <w:ind w:right="705"/>
        <w:jc w:val="center"/>
        <w:rPr>
          <w:rFonts w:hint="eastAsia" w:cs="宋体" w:asciiTheme="majorEastAsia" w:hAnsiTheme="majorEastAsia" w:eastAsiaTheme="majorEastAsia"/>
          <w:b/>
          <w:color w:val="333333"/>
          <w:sz w:val="30"/>
          <w:szCs w:val="30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color w:val="333333"/>
          <w:sz w:val="30"/>
          <w:szCs w:val="30"/>
        </w:rPr>
        <w:t>第一部分   财务会计</w:t>
      </w:r>
      <w:r>
        <w:rPr>
          <w:rFonts w:hint="eastAsia" w:cs="宋体" w:asciiTheme="majorEastAsia" w:hAnsiTheme="majorEastAsia" w:eastAsiaTheme="majorEastAsia"/>
          <w:b/>
          <w:color w:val="333333"/>
          <w:sz w:val="30"/>
          <w:szCs w:val="30"/>
          <w:lang w:val="en-US" w:eastAsia="zh-CN"/>
        </w:rPr>
        <w:t>(占专业课50%)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第一章  总论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  财务会计报告的目标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第二节  会计基本假设与会计基础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第三节  会计信息质量要求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第四节  会计要素及其确认与计量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第五节  财务会计报告的组成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第二章  金融资产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  金融资产的分类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第二节  以摊余成本计量的金融资产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第三节  以公允价值计量且其变动计入其他综合收益的金融资产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第四节  以公允价值计量且其变动计入当期损益的金融资产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第三章  长期股权投资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  长期股权投资的确认和初始计量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第二节  长期股权投资的后续计量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第四章  固定资产和无形资产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  固定资产的确认和初始计量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第二节  固定资产的后续计量和处置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第三节无形资产的确认和初始计量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第四节内部研究与开发支出的确认和计量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第五节  无形资产的后续计量和处置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第五章  负债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  流动负债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第二节  非流动负债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第六章  所有者权益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  实收资本（股本）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第二节  资本公积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第三节  其他综合收益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第四节  留存收益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第七章  收入、费用和利润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  收入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第二节  费用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第三节  直接计入当期利润的利得和损失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第四节  利润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第八章  债务重组</w:t>
      </w:r>
    </w:p>
    <w:p>
      <w:pPr>
        <w:spacing w:after="0" w:line="500" w:lineRule="exact"/>
        <w:ind w:right="703" w:firstLine="55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　债务重组的概述</w:t>
      </w:r>
    </w:p>
    <w:p>
      <w:pPr>
        <w:spacing w:after="0" w:line="500" w:lineRule="exact"/>
        <w:ind w:right="703" w:firstLine="55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 xml:space="preserve">第二节　债务重组的核算 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　　第三节　债务重组的披露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第九章  非货币性资产交换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 xml:space="preserve">　　第一节　非货币性资产交换概述 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　　第二节　非货币性资产交换的会计处理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第十章  财务报告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  财务报告概述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第二节  资产负债表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第三节  利润表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第四节  现金流量表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第五节  所有者权益变动表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第六节  附注</w:t>
      </w:r>
    </w:p>
    <w:p>
      <w:pPr>
        <w:spacing w:after="0" w:line="500" w:lineRule="exact"/>
        <w:ind w:right="70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第十一章  或有事项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第一节  或有事项概述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第二节  或有事项的确认和计量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第三节  或有事项的列报</w:t>
      </w:r>
    </w:p>
    <w:p>
      <w:pPr>
        <w:spacing w:after="0" w:line="500" w:lineRule="exact"/>
        <w:ind w:right="70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第十二章  资产负债表日后事项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第一节  资产负债表日后事项概述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第二节  调整事项的会计处理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第三节  非调整事项的会计处理</w:t>
      </w:r>
    </w:p>
    <w:p>
      <w:pPr>
        <w:spacing w:after="0" w:line="500" w:lineRule="exact"/>
        <w:ind w:right="70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第十三章  会计政策、会计估计变更和差错更正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第一节  会计政策及其变更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第二节  会计估计及其变更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第三节  前期差错及其更正</w:t>
      </w:r>
    </w:p>
    <w:p>
      <w:pPr>
        <w:spacing w:after="0" w:line="500" w:lineRule="exact"/>
        <w:ind w:right="70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第十四章  所得税</w:t>
      </w:r>
    </w:p>
    <w:p>
      <w:pPr>
        <w:pStyle w:val="10"/>
        <w:numPr>
          <w:ilvl w:val="0"/>
          <w:numId w:val="1"/>
        </w:numPr>
        <w:spacing w:after="0" w:line="500" w:lineRule="exact"/>
        <w:ind w:right="705" w:firstLineChars="0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概述</w:t>
      </w:r>
    </w:p>
    <w:p>
      <w:pPr>
        <w:pStyle w:val="10"/>
        <w:numPr>
          <w:ilvl w:val="0"/>
          <w:numId w:val="1"/>
        </w:numPr>
        <w:spacing w:after="0" w:line="500" w:lineRule="exact"/>
        <w:ind w:right="705" w:firstLineChars="0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资产负债的计税基础与暂时性差异</w:t>
      </w:r>
    </w:p>
    <w:p>
      <w:pPr>
        <w:pStyle w:val="10"/>
        <w:numPr>
          <w:ilvl w:val="0"/>
          <w:numId w:val="1"/>
        </w:numPr>
        <w:spacing w:after="0" w:line="500" w:lineRule="exact"/>
        <w:ind w:right="705" w:firstLineChars="0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递延所得税负债和递延所得税资产</w:t>
      </w:r>
    </w:p>
    <w:p>
      <w:pPr>
        <w:spacing w:after="0" w:line="500" w:lineRule="exact"/>
        <w:ind w:right="705"/>
        <w:rPr>
          <w:rFonts w:ascii="宋体" w:hAnsi="宋体" w:cs="宋体"/>
          <w:b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 xml:space="preserve">　　   第四节　所得税费用的确认与计量 </w:t>
      </w:r>
      <w:r>
        <w:rPr>
          <w:rFonts w:ascii="宋体" w:hAnsi="宋体" w:cs="宋体"/>
          <w:b/>
          <w:color w:val="333333"/>
          <w:sz w:val="28"/>
          <w:szCs w:val="28"/>
        </w:rPr>
        <w:br w:type="page"/>
      </w:r>
    </w:p>
    <w:p>
      <w:pPr>
        <w:spacing w:after="0" w:line="500" w:lineRule="exact"/>
        <w:ind w:right="705"/>
        <w:jc w:val="center"/>
        <w:rPr>
          <w:rFonts w:hint="eastAsia" w:ascii="宋体" w:hAnsi="宋体" w:eastAsia="微软雅黑" w:cs="宋体"/>
          <w:b/>
          <w:color w:val="333333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333333"/>
          <w:sz w:val="28"/>
          <w:szCs w:val="28"/>
        </w:rPr>
        <w:t>第二部分  成本与管理会计</w:t>
      </w:r>
      <w:r>
        <w:rPr>
          <w:rFonts w:hint="eastAsia" w:ascii="宋体" w:hAnsi="宋体" w:cs="宋体"/>
          <w:b/>
          <w:color w:val="333333"/>
          <w:sz w:val="28"/>
          <w:szCs w:val="28"/>
          <w:lang w:eastAsia="zh-CN"/>
        </w:rPr>
        <w:t>（占专业课</w:t>
      </w:r>
      <w:r>
        <w:rPr>
          <w:rFonts w:hint="eastAsia" w:ascii="宋体" w:hAnsi="宋体" w:cs="宋体"/>
          <w:b/>
          <w:color w:val="333333"/>
          <w:sz w:val="28"/>
          <w:szCs w:val="28"/>
          <w:lang w:val="en-US" w:eastAsia="zh-CN"/>
        </w:rPr>
        <w:t>20%</w:t>
      </w:r>
      <w:r>
        <w:rPr>
          <w:rFonts w:hint="eastAsia" w:ascii="宋体" w:hAnsi="宋体" w:cs="宋体"/>
          <w:b/>
          <w:color w:val="333333"/>
          <w:sz w:val="28"/>
          <w:szCs w:val="28"/>
          <w:lang w:eastAsia="zh-CN"/>
        </w:rPr>
        <w:t>）</w:t>
      </w:r>
    </w:p>
    <w:p>
      <w:pPr>
        <w:spacing w:after="0" w:line="500" w:lineRule="exact"/>
        <w:ind w:right="703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第一章  总论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管理会计与财务会计的区别与联系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成本的概念和分类</w:t>
      </w:r>
    </w:p>
    <w:p>
      <w:pPr>
        <w:spacing w:after="0" w:line="500" w:lineRule="exact"/>
        <w:ind w:right="703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第二章  产品成本核算方法</w:t>
      </w:r>
    </w:p>
    <w:p>
      <w:pPr>
        <w:spacing w:after="0" w:line="500" w:lineRule="exact"/>
        <w:ind w:right="703" w:firstLine="560" w:firstLineChars="200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产品成本计算概述</w:t>
      </w:r>
    </w:p>
    <w:p>
      <w:pPr>
        <w:pStyle w:val="10"/>
        <w:spacing w:after="0" w:line="500" w:lineRule="exact"/>
        <w:ind w:left="360" w:right="703" w:firstLine="140" w:firstLineChars="50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辅助生产成本和制造费用的归集与分配</w:t>
      </w:r>
    </w:p>
    <w:p>
      <w:pPr>
        <w:pStyle w:val="10"/>
        <w:spacing w:after="0" w:line="500" w:lineRule="exact"/>
        <w:ind w:left="360" w:right="703" w:firstLine="140" w:firstLineChars="50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 生产费用在完成品与在产品之间的分配</w:t>
      </w:r>
    </w:p>
    <w:p>
      <w:pPr>
        <w:spacing w:after="0" w:line="500" w:lineRule="exact"/>
        <w:ind w:right="703" w:firstLine="560" w:firstLineChars="200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第四节   产品成本计算的品种法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第五节  产品成本计算的分批法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第六节  产品成本计算的分步法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第七节  作业成本法</w:t>
      </w:r>
    </w:p>
    <w:p>
      <w:pPr>
        <w:spacing w:after="0" w:line="500" w:lineRule="exact"/>
        <w:ind w:right="703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第三章  成本分析与成本管理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成本性态分析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变动成本法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成本管理方法</w:t>
      </w:r>
    </w:p>
    <w:p>
      <w:pPr>
        <w:spacing w:after="0" w:line="500" w:lineRule="exact"/>
        <w:ind w:right="703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第四章  经营决策分析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经营决策分析的基本方法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本量利分析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经营决策中的成本概念运用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第四节  经营决策中的生产组织与外包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第五节  经营决策中的产能利用与存货</w:t>
      </w:r>
    </w:p>
    <w:p>
      <w:pPr>
        <w:spacing w:after="0" w:line="500" w:lineRule="exact"/>
        <w:ind w:right="703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第五章  全面预算管理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全面预算概述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全面预算的类型与编制方法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营业预算的编制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第四节  财务预算的编制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第五节  预算实施与管理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第六节  预算结果的考评与反馈</w:t>
      </w:r>
    </w:p>
    <w:p>
      <w:pPr>
        <w:spacing w:after="0" w:line="500" w:lineRule="exact"/>
        <w:ind w:right="703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第六章  责任会计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责任会计概述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责任中心的类型与基本原则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内部转移价格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第四节  责任会计体系与部门绩效考核</w:t>
      </w:r>
    </w:p>
    <w:p>
      <w:pPr>
        <w:spacing w:after="0" w:line="500" w:lineRule="exact"/>
        <w:ind w:right="705"/>
        <w:rPr>
          <w:rFonts w:ascii="宋体" w:hAnsi="宋体" w:cs="宋体"/>
          <w:color w:val="333333"/>
          <w:sz w:val="28"/>
          <w:szCs w:val="28"/>
        </w:rPr>
      </w:pPr>
    </w:p>
    <w:p>
      <w:pPr>
        <w:spacing w:after="0" w:line="500" w:lineRule="exact"/>
        <w:ind w:right="705"/>
        <w:rPr>
          <w:rFonts w:ascii="宋体" w:hAnsi="宋体" w:cs="宋体"/>
          <w:color w:val="333333"/>
          <w:sz w:val="28"/>
          <w:szCs w:val="28"/>
        </w:rPr>
      </w:pPr>
    </w:p>
    <w:p>
      <w:pPr>
        <w:spacing w:after="0" w:line="500" w:lineRule="exact"/>
        <w:rPr>
          <w:rFonts w:ascii="宋体" w:hAnsi="宋体" w:cs="宋体"/>
          <w:b/>
          <w:color w:val="333333"/>
          <w:sz w:val="28"/>
          <w:szCs w:val="28"/>
        </w:rPr>
      </w:pPr>
      <w:r>
        <w:rPr>
          <w:rFonts w:ascii="宋体" w:hAnsi="宋体" w:cs="宋体"/>
          <w:b/>
          <w:color w:val="333333"/>
          <w:sz w:val="28"/>
          <w:szCs w:val="28"/>
        </w:rPr>
        <w:br w:type="page"/>
      </w:r>
    </w:p>
    <w:p>
      <w:pPr>
        <w:spacing w:after="0" w:line="500" w:lineRule="exact"/>
        <w:ind w:right="705"/>
        <w:jc w:val="center"/>
        <w:rPr>
          <w:rFonts w:ascii="宋体" w:hAnsi="宋体" w:cs="宋体"/>
          <w:b/>
          <w:color w:val="333333"/>
          <w:sz w:val="28"/>
          <w:szCs w:val="28"/>
        </w:rPr>
      </w:pPr>
      <w:r>
        <w:rPr>
          <w:rFonts w:hint="eastAsia" w:ascii="宋体" w:hAnsi="宋体" w:cs="宋体"/>
          <w:b/>
          <w:color w:val="333333"/>
          <w:sz w:val="28"/>
          <w:szCs w:val="28"/>
        </w:rPr>
        <w:t>第三部分  财务管理</w:t>
      </w:r>
      <w:r>
        <w:rPr>
          <w:rFonts w:hint="eastAsia" w:ascii="宋体" w:hAnsi="宋体" w:cs="宋体"/>
          <w:b/>
          <w:color w:val="333333"/>
          <w:sz w:val="28"/>
          <w:szCs w:val="28"/>
          <w:lang w:eastAsia="zh-CN"/>
        </w:rPr>
        <w:t>（占专业课</w:t>
      </w:r>
      <w:r>
        <w:rPr>
          <w:rFonts w:hint="eastAsia" w:ascii="宋体" w:hAnsi="宋体" w:cs="宋体"/>
          <w:b/>
          <w:color w:val="333333"/>
          <w:sz w:val="28"/>
          <w:szCs w:val="28"/>
          <w:lang w:val="en-US" w:eastAsia="zh-CN"/>
        </w:rPr>
        <w:t>20%</w:t>
      </w:r>
      <w:r>
        <w:rPr>
          <w:rFonts w:hint="eastAsia" w:ascii="宋体" w:hAnsi="宋体" w:cs="宋体"/>
          <w:b/>
          <w:color w:val="333333"/>
          <w:sz w:val="28"/>
          <w:szCs w:val="28"/>
          <w:lang w:eastAsia="zh-CN"/>
        </w:rPr>
        <w:t>）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第一章  总论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财务管理的概念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财务管理的目标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财务管理的环境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第二章  财务估值的基础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货币时间价值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风险和收益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证券估值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第三章  财务分析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偿债能力分析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营运能力分析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获利能力分析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第四节  发展能力分析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第五节  综合财务分析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第四章  长期筹资决策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资本成本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资本结构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普通股筹资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第四节  长期负债筹资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第五章  投资决策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投资的概念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投资的现金流量分析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投资决策评价指标及其计算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第六章  营运资金管理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短期资产管理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短期筹资管理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第七章  股利分配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利润分配概述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股利支付的程序和方式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股利理论与股利分配政策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sz w:val="28"/>
          <w:szCs w:val="28"/>
        </w:rPr>
        <w:br w:type="page"/>
      </w:r>
    </w:p>
    <w:p>
      <w:pPr>
        <w:spacing w:after="0" w:line="500" w:lineRule="exact"/>
        <w:ind w:right="705"/>
        <w:jc w:val="center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="宋体" w:hAnsi="宋体" w:cs="宋体"/>
          <w:b/>
          <w:color w:val="333333"/>
          <w:sz w:val="28"/>
          <w:szCs w:val="28"/>
          <w:lang w:eastAsia="zh-CN"/>
        </w:rPr>
        <w:t>第四部分  审  计（占专业课</w:t>
      </w:r>
      <w:r>
        <w:rPr>
          <w:rFonts w:hint="eastAsia" w:ascii="宋体" w:hAnsi="宋体" w:cs="宋体"/>
          <w:b/>
          <w:color w:val="333333"/>
          <w:sz w:val="28"/>
          <w:szCs w:val="28"/>
          <w:lang w:val="en-US" w:eastAsia="zh-CN"/>
        </w:rPr>
        <w:t>10%</w:t>
      </w:r>
      <w:r>
        <w:rPr>
          <w:rFonts w:hint="eastAsia" w:ascii="宋体" w:hAnsi="宋体" w:cs="宋体"/>
          <w:b/>
          <w:color w:val="333333"/>
          <w:sz w:val="28"/>
          <w:szCs w:val="28"/>
          <w:lang w:eastAsia="zh-CN"/>
        </w:rPr>
        <w:t>）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第一章  总论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第一节  审计的定义和特征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第二节  审计的职能和作用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第三节  审计的分类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第四节  审计准则、职业道德和法律责任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第二章  财务报表审计的核心概念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第一节  审计目标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第二节  重要性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第三节  审计风险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第四节  审计证据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第五节  审计程序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第三章  财务报表审计的思路和步骤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第一节  风险导向审计的基本思路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第二节  风险评估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第三节  控制测试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第四节  实质性程序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第四章  主要业务循环的审计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第一节  销售与收款循环的审计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第二节  采购与付款循环的审计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第三节  </w:t>
      </w:r>
      <w:r>
        <w:rPr>
          <w:rFonts w:cs="宋体" w:asciiTheme="minorEastAsia" w:hAnsiTheme="minorEastAsia" w:eastAsiaTheme="minorEastAsia"/>
          <w:color w:val="333333"/>
          <w:sz w:val="28"/>
          <w:szCs w:val="28"/>
        </w:rPr>
        <w:t>生产与职工薪酬循环</w:t>
      </w: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的</w:t>
      </w:r>
      <w:r>
        <w:rPr>
          <w:rFonts w:cs="宋体" w:asciiTheme="minorEastAsia" w:hAnsiTheme="minorEastAsia" w:eastAsiaTheme="minorEastAsia"/>
          <w:color w:val="333333"/>
          <w:sz w:val="28"/>
          <w:szCs w:val="28"/>
        </w:rPr>
        <w:t>审计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第四节  </w:t>
      </w:r>
      <w:r>
        <w:rPr>
          <w:rFonts w:cs="宋体" w:asciiTheme="minorEastAsia" w:hAnsiTheme="minorEastAsia" w:eastAsiaTheme="minorEastAsia"/>
          <w:color w:val="333333"/>
          <w:sz w:val="28"/>
          <w:szCs w:val="28"/>
        </w:rPr>
        <w:t>筹资与投资循环</w:t>
      </w: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的</w:t>
      </w:r>
      <w:r>
        <w:rPr>
          <w:rFonts w:cs="宋体" w:asciiTheme="minorEastAsia" w:hAnsiTheme="minorEastAsia" w:eastAsiaTheme="minorEastAsia"/>
          <w:color w:val="333333"/>
          <w:sz w:val="28"/>
          <w:szCs w:val="28"/>
        </w:rPr>
        <w:t>审计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第五节  货币资金与特殊项目的审计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第五章  审计报告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第一节  审计意见的形成和类型</w:t>
      </w:r>
    </w:p>
    <w:p>
      <w:pPr>
        <w:spacing w:after="0" w:line="500" w:lineRule="exact"/>
        <w:ind w:left="1425" w:right="703" w:hanging="82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第二节  标准审计报告的结构和内</w:t>
      </w:r>
      <w:r>
        <w:rPr>
          <w:rFonts w:hint="eastAsia" w:asciiTheme="minorEastAsia" w:hAnsiTheme="minorEastAsia" w:eastAsiaTheme="minorEastAsia"/>
          <w:sz w:val="28"/>
          <w:szCs w:val="28"/>
        </w:rPr>
        <w:t>容</w:t>
      </w:r>
    </w:p>
    <w:p>
      <w:pPr>
        <w:spacing w:after="0" w:line="500" w:lineRule="exact"/>
        <w:ind w:firstLine="552"/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第三节  非标准审计报告的结构和内容</w:t>
      </w:r>
    </w:p>
    <w:sectPr>
      <w:foot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TZhongson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76463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193D22"/>
    <w:multiLevelType w:val="multilevel"/>
    <w:tmpl w:val="47193D22"/>
    <w:lvl w:ilvl="0" w:tentative="0">
      <w:start w:val="1"/>
      <w:numFmt w:val="japaneseCounting"/>
      <w:lvlText w:val="第%1节"/>
      <w:lvlJc w:val="left"/>
      <w:pPr>
        <w:ind w:left="2103" w:hanging="11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5" w:hanging="420"/>
      </w:pPr>
    </w:lvl>
    <w:lvl w:ilvl="2" w:tentative="0">
      <w:start w:val="1"/>
      <w:numFmt w:val="lowerRoman"/>
      <w:lvlText w:val="%3."/>
      <w:lvlJc w:val="right"/>
      <w:pPr>
        <w:ind w:left="1815" w:hanging="420"/>
      </w:pPr>
    </w:lvl>
    <w:lvl w:ilvl="3" w:tentative="0">
      <w:start w:val="1"/>
      <w:numFmt w:val="decimal"/>
      <w:lvlText w:val="%4."/>
      <w:lvlJc w:val="left"/>
      <w:pPr>
        <w:ind w:left="2235" w:hanging="420"/>
      </w:pPr>
    </w:lvl>
    <w:lvl w:ilvl="4" w:tentative="0">
      <w:start w:val="1"/>
      <w:numFmt w:val="lowerLetter"/>
      <w:lvlText w:val="%5)"/>
      <w:lvlJc w:val="left"/>
      <w:pPr>
        <w:ind w:left="2655" w:hanging="420"/>
      </w:pPr>
    </w:lvl>
    <w:lvl w:ilvl="5" w:tentative="0">
      <w:start w:val="1"/>
      <w:numFmt w:val="lowerRoman"/>
      <w:lvlText w:val="%6."/>
      <w:lvlJc w:val="right"/>
      <w:pPr>
        <w:ind w:left="3075" w:hanging="420"/>
      </w:pPr>
    </w:lvl>
    <w:lvl w:ilvl="6" w:tentative="0">
      <w:start w:val="1"/>
      <w:numFmt w:val="decimal"/>
      <w:lvlText w:val="%7."/>
      <w:lvlJc w:val="left"/>
      <w:pPr>
        <w:ind w:left="3495" w:hanging="420"/>
      </w:pPr>
    </w:lvl>
    <w:lvl w:ilvl="7" w:tentative="0">
      <w:start w:val="1"/>
      <w:numFmt w:val="lowerLetter"/>
      <w:lvlText w:val="%8)"/>
      <w:lvlJc w:val="left"/>
      <w:pPr>
        <w:ind w:left="3915" w:hanging="420"/>
      </w:pPr>
    </w:lvl>
    <w:lvl w:ilvl="8" w:tentative="0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NGU0NzRhOTZiZGE3Y2RiOGM2Y2IxNDgyM2UyYzIifQ=="/>
  </w:docVars>
  <w:rsids>
    <w:rsidRoot w:val="00D31D50"/>
    <w:rsid w:val="000C7015"/>
    <w:rsid w:val="0010196C"/>
    <w:rsid w:val="002805C5"/>
    <w:rsid w:val="00323B43"/>
    <w:rsid w:val="003D37D8"/>
    <w:rsid w:val="00426133"/>
    <w:rsid w:val="004358AB"/>
    <w:rsid w:val="00445977"/>
    <w:rsid w:val="00465BCA"/>
    <w:rsid w:val="004A7250"/>
    <w:rsid w:val="005206E0"/>
    <w:rsid w:val="00807BCB"/>
    <w:rsid w:val="008B7726"/>
    <w:rsid w:val="00AC0CFE"/>
    <w:rsid w:val="00B00E04"/>
    <w:rsid w:val="00BA1D37"/>
    <w:rsid w:val="00D31D50"/>
    <w:rsid w:val="00F171A7"/>
    <w:rsid w:val="00F37F58"/>
    <w:rsid w:val="02FB2892"/>
    <w:rsid w:val="31C22F83"/>
    <w:rsid w:val="36BD7B85"/>
    <w:rsid w:val="423C654C"/>
    <w:rsid w:val="4B04300E"/>
    <w:rsid w:val="53880E7A"/>
    <w:rsid w:val="69D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widowControl w:val="0"/>
      <w:adjustRightInd/>
      <w:snapToGrid/>
      <w:spacing w:before="240" w:after="240" w:line="360" w:lineRule="auto"/>
      <w:jc w:val="center"/>
      <w:outlineLvl w:val="0"/>
    </w:pPr>
    <w:rPr>
      <w:rFonts w:ascii="Times New Roman" w:hAnsi="Times New Roman" w:eastAsia="STZhongsong" w:cs="Times New Roman"/>
      <w:b/>
      <w:bCs/>
      <w:kern w:val="44"/>
      <w:sz w:val="36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Times New Roman" w:hAnsi="Times New Roman" w:eastAsia="STZhongsong" w:cs="Times New Roman"/>
      <w:b/>
      <w:bCs/>
      <w:kern w:val="44"/>
      <w:sz w:val="36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D8EFC1-B0CD-4B39-984A-119F8E8D4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1750</Words>
  <Characters>1759</Characters>
  <Lines>16</Lines>
  <Paragraphs>4</Paragraphs>
  <TotalTime>0</TotalTime>
  <ScaleCrop>false</ScaleCrop>
  <LinksUpToDate>false</LinksUpToDate>
  <CharactersWithSpaces>2248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๑• . •๑</cp:lastModifiedBy>
  <cp:lastPrinted>2018-02-21T00:35:00Z</cp:lastPrinted>
  <dcterms:modified xsi:type="dcterms:W3CDTF">2023-03-07T06:17:42Z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02F3BADC2D8A4A159F15C55B6F52CE84</vt:lpwstr>
  </property>
</Properties>
</file>