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458843086"/>
      <w:bookmarkStart w:id="1" w:name="_Toc457920212"/>
      <w:bookmarkStart w:id="2" w:name="_Toc458070424"/>
      <w:bookmarkStart w:id="3" w:name="_Toc457825555"/>
      <w:bookmarkStart w:id="4" w:name="_Toc457918239"/>
      <w:bookmarkStart w:id="5" w:name="_Toc457825846"/>
      <w:bookmarkStart w:id="6" w:name="_Toc458013464"/>
      <w:bookmarkStart w:id="7" w:name="_Toc457921067"/>
      <w:r>
        <w:rPr>
          <w:rFonts w:hint="eastAsia"/>
        </w:rPr>
        <w:t>会计硕士专业学位研究生入学考试</w:t>
      </w:r>
      <w:bookmarkEnd w:id="0"/>
    </w:p>
    <w:p>
      <w:pPr>
        <w:pStyle w:val="2"/>
        <w:rPr>
          <w:rFonts w:ascii="宋体" w:hAnsi="宋体" w:cs="宋体"/>
          <w:color w:val="333333"/>
        </w:rPr>
      </w:pPr>
      <w:bookmarkStart w:id="8" w:name="_Toc458843087"/>
      <w:r>
        <w:rPr>
          <w:rFonts w:hint="eastAsia"/>
        </w:rPr>
        <w:t>复试阶段</w:t>
      </w:r>
      <w:r>
        <w:rPr>
          <w:rFonts w:hint="eastAsia"/>
          <w:lang w:val="en-US" w:eastAsia="zh-CN"/>
        </w:rPr>
        <w:t>会计综合</w:t>
      </w:r>
      <w:bookmarkStart w:id="9" w:name="_GoBack"/>
      <w:bookmarkEnd w:id="9"/>
      <w:r>
        <w:rPr>
          <w:rFonts w:hint="eastAsia"/>
        </w:rPr>
        <w:t>专业课指导性大纲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spacing w:after="0" w:line="500" w:lineRule="exact"/>
        <w:ind w:right="705"/>
        <w:jc w:val="center"/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  <w:lang w:val="en-US" w:eastAsia="zh-CN"/>
        </w:rPr>
      </w:pPr>
      <w:r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</w:rPr>
        <w:t>第一部分   财务会计</w:t>
      </w:r>
      <w:r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  <w:lang w:val="en-US" w:eastAsia="zh-CN"/>
        </w:rPr>
        <w:t>(占专业课50%)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第一章  总论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财务会计报告的目标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会计基本假设与会计基础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  会计信息质量要求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  会计要素及其确认与计量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第五节  财务会计报告的组成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第二章  金融资产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金融资产的分类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以摊余成本计量的金融资产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  以公允价值计量且其变动计入其他综合收益的金融资产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  以公允价值计量且其变动计入当期损益的金融资产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第三章  长期股权投资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长期股权投资的确认和初始计量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长期股权投资的后续计量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第四章  固定资产和无形资产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固定资产的确认和初始计量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固定资产的后续计量和处置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第三节无形资产的确认和初始计量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第四节内部研究与开发支出的确认和计量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第五节  无形资产的后续计量和处置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第五章  负债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流动负债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非流动负债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第六章  所有者权益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实收资本（股本）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资本公积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  其他综合收益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  留存收益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第七章  收入、费用和利润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收入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费用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  直接计入当期利润的利得和损失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  利润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第八章  债务重组</w:t>
      </w:r>
    </w:p>
    <w:p>
      <w:pPr>
        <w:spacing w:after="0" w:line="500" w:lineRule="exact"/>
        <w:ind w:right="703" w:firstLine="55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　债务重组的概述</w:t>
      </w:r>
    </w:p>
    <w:p>
      <w:pPr>
        <w:spacing w:after="0" w:line="500" w:lineRule="exact"/>
        <w:ind w:right="703" w:firstLine="55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 xml:space="preserve">第二节　债务重组的核算 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　　第三节　债务重组的披露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第九章  非货币性资产交换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 xml:space="preserve">　　第一节　非货币性资产交换概述 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　　第二节　非货币性资产交换的会计处理</w:t>
      </w:r>
    </w:p>
    <w:p>
      <w:pPr>
        <w:spacing w:after="0" w:line="500" w:lineRule="exact"/>
        <w:ind w:right="703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第十章  财务报告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第一节  财务报告概述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第二节  资产负债表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第三节  利润表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第四节  现金流量表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第五节  所有者权益变动表</w:t>
      </w:r>
    </w:p>
    <w:p>
      <w:pPr>
        <w:spacing w:after="0" w:line="500" w:lineRule="exact"/>
        <w:ind w:left="1425" w:right="703" w:hanging="825"/>
        <w:rPr>
          <w:rFonts w:cs="宋体" w:asciiTheme="majorEastAsia" w:hAnsiTheme="majorEastAsia" w:eastAsiaTheme="majorEastAsia"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28"/>
          <w:szCs w:val="28"/>
        </w:rPr>
        <w:t>第六节  附注</w:t>
      </w:r>
    </w:p>
    <w:p>
      <w:pPr>
        <w:spacing w:after="0" w:line="500" w:lineRule="exact"/>
        <w:ind w:right="70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第十一章  或有事项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第一节  或有事项概述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第二节  或有事项的确认和计量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第三节  或有事项的列报</w:t>
      </w:r>
    </w:p>
    <w:p>
      <w:pPr>
        <w:spacing w:after="0" w:line="500" w:lineRule="exact"/>
        <w:ind w:right="70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第十二章  资产负债表日后事项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第一节  资产负债表日后事项概述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第二节  调整事项的会计处理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第三节  非调整事项的会计处理</w:t>
      </w:r>
    </w:p>
    <w:p>
      <w:pPr>
        <w:spacing w:after="0" w:line="500" w:lineRule="exact"/>
        <w:ind w:right="70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第十三章  会计政策、会计估计变更和差错更正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第一节  会计政策及其变更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第二节  会计估计及其变更</w:t>
      </w:r>
    </w:p>
    <w:p>
      <w:pPr>
        <w:spacing w:after="0" w:line="500" w:lineRule="exact"/>
        <w:ind w:left="1425" w:right="705" w:hanging="82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第三节  前期差错及其更正</w:t>
      </w:r>
    </w:p>
    <w:p>
      <w:pPr>
        <w:spacing w:after="0" w:line="500" w:lineRule="exact"/>
        <w:ind w:right="705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第十四章  所得税</w:t>
      </w:r>
    </w:p>
    <w:p>
      <w:pPr>
        <w:pStyle w:val="10"/>
        <w:numPr>
          <w:ilvl w:val="0"/>
          <w:numId w:val="1"/>
        </w:numPr>
        <w:spacing w:after="0" w:line="500" w:lineRule="exact"/>
        <w:ind w:right="705" w:firstLineChars="0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概述</w:t>
      </w:r>
    </w:p>
    <w:p>
      <w:pPr>
        <w:pStyle w:val="10"/>
        <w:numPr>
          <w:ilvl w:val="0"/>
          <w:numId w:val="1"/>
        </w:numPr>
        <w:spacing w:after="0" w:line="500" w:lineRule="exact"/>
        <w:ind w:right="705" w:firstLineChars="0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资产负债的计税基础与暂时性差异</w:t>
      </w:r>
    </w:p>
    <w:p>
      <w:pPr>
        <w:pStyle w:val="10"/>
        <w:numPr>
          <w:ilvl w:val="0"/>
          <w:numId w:val="1"/>
        </w:numPr>
        <w:spacing w:after="0" w:line="500" w:lineRule="exact"/>
        <w:ind w:right="705" w:firstLineChars="0"/>
        <w:rPr>
          <w:rFonts w:cs="宋体" w:asciiTheme="majorEastAsia" w:hAnsiTheme="majorEastAsia" w:eastAsiaTheme="majorEastAsia"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>递延所得税负债和递延所得税资产</w:t>
      </w:r>
    </w:p>
    <w:p>
      <w:pPr>
        <w:spacing w:after="0" w:line="500" w:lineRule="exact"/>
        <w:ind w:right="705"/>
        <w:rPr>
          <w:rFonts w:ascii="宋体" w:hAnsi="宋体" w:cs="宋体"/>
          <w:b/>
          <w:color w:val="333333"/>
          <w:sz w:val="28"/>
          <w:szCs w:val="28"/>
        </w:rPr>
      </w:pPr>
      <w:r>
        <w:rPr>
          <w:rFonts w:hint="eastAsia" w:cs="宋体" w:asciiTheme="majorEastAsia" w:hAnsiTheme="majorEastAsia" w:eastAsiaTheme="majorEastAsia"/>
          <w:color w:val="333333"/>
          <w:sz w:val="30"/>
          <w:szCs w:val="30"/>
        </w:rPr>
        <w:t xml:space="preserve">　　   第四节　所得税费用的确认与计量 </w:t>
      </w:r>
      <w:r>
        <w:rPr>
          <w:rFonts w:ascii="宋体" w:hAnsi="宋体" w:cs="宋体"/>
          <w:b/>
          <w:color w:val="333333"/>
          <w:sz w:val="28"/>
          <w:szCs w:val="28"/>
        </w:rPr>
        <w:br w:type="page"/>
      </w:r>
    </w:p>
    <w:p>
      <w:pPr>
        <w:spacing w:after="0" w:line="500" w:lineRule="exact"/>
        <w:ind w:right="705"/>
        <w:jc w:val="center"/>
        <w:rPr>
          <w:rFonts w:hint="eastAsia" w:ascii="宋体" w:hAnsi="宋体" w:eastAsia="微软雅黑" w:cs="宋体"/>
          <w:b/>
          <w:color w:val="333333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333333"/>
          <w:sz w:val="28"/>
          <w:szCs w:val="28"/>
        </w:rPr>
        <w:t>第二部分  成本与管理会计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（占专业课</w:t>
      </w:r>
      <w:r>
        <w:rPr>
          <w:rFonts w:hint="eastAsia" w:ascii="宋体" w:hAnsi="宋体" w:cs="宋体"/>
          <w:b/>
          <w:color w:val="333333"/>
          <w:sz w:val="28"/>
          <w:szCs w:val="28"/>
          <w:lang w:val="en-US" w:eastAsia="zh-CN"/>
        </w:rPr>
        <w:t>20%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）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第一章  总论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管理会计与财务会计的区别与联系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成本的概念和分类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第二章  产品成本核算方法</w:t>
      </w:r>
    </w:p>
    <w:p>
      <w:pPr>
        <w:spacing w:after="0" w:line="500" w:lineRule="exact"/>
        <w:ind w:right="703" w:firstLine="560" w:firstLineChars="200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产品成本计算概述</w:t>
      </w:r>
    </w:p>
    <w:p>
      <w:pPr>
        <w:pStyle w:val="10"/>
        <w:spacing w:after="0" w:line="500" w:lineRule="exact"/>
        <w:ind w:left="360" w:right="703" w:firstLine="140" w:firstLineChars="50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辅助生产成本和制造费用的归集与分配</w:t>
      </w:r>
    </w:p>
    <w:p>
      <w:pPr>
        <w:pStyle w:val="10"/>
        <w:spacing w:after="0" w:line="500" w:lineRule="exact"/>
        <w:ind w:left="360" w:right="703" w:firstLine="140" w:firstLineChars="50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 生产费用在完成品与在产品之间的分配</w:t>
      </w:r>
    </w:p>
    <w:p>
      <w:pPr>
        <w:spacing w:after="0" w:line="500" w:lineRule="exact"/>
        <w:ind w:right="703" w:firstLine="560" w:firstLineChars="200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 产品成本计算的品种法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第五节  产品成本计算的分批法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第六节  产品成本计算的分步法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第七节  作业成本法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第三章  成本分析与成本管理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成本性态分析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变动成本法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成本管理方法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第四章  经营决策分析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经营决策分析的基本方法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本量利分析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经营决策中的成本概念运用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经营决策中的生产组织与外包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第五节  经营决策中的产能利用与存货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第五章  全面预算管理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全面预算概述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全面预算的类型与编制方法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营业预算的编制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财务预算的编制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第五节  预算实施与管理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第六节  预算结果的考评与反馈</w:t>
      </w:r>
    </w:p>
    <w:p>
      <w:pPr>
        <w:spacing w:after="0" w:line="500" w:lineRule="exact"/>
        <w:ind w:right="703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第六章  责任会计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责任会计概述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责任中心的类型与基本原则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内部转移价格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责任会计体系与部门绩效考核</w:t>
      </w:r>
    </w:p>
    <w:p>
      <w:pPr>
        <w:spacing w:after="0" w:line="500" w:lineRule="exact"/>
        <w:ind w:right="705"/>
        <w:rPr>
          <w:rFonts w:ascii="宋体" w:hAnsi="宋体" w:cs="宋体"/>
          <w:color w:val="333333"/>
          <w:sz w:val="28"/>
          <w:szCs w:val="28"/>
        </w:rPr>
      </w:pPr>
    </w:p>
    <w:p>
      <w:pPr>
        <w:spacing w:after="0" w:line="500" w:lineRule="exact"/>
        <w:ind w:right="705"/>
        <w:rPr>
          <w:rFonts w:ascii="宋体" w:hAnsi="宋体" w:cs="宋体"/>
          <w:color w:val="333333"/>
          <w:sz w:val="28"/>
          <w:szCs w:val="28"/>
        </w:rPr>
      </w:pPr>
    </w:p>
    <w:p>
      <w:pPr>
        <w:spacing w:after="0" w:line="500" w:lineRule="exact"/>
        <w:rPr>
          <w:rFonts w:ascii="宋体" w:hAnsi="宋体" w:cs="宋体"/>
          <w:b/>
          <w:color w:val="333333"/>
          <w:sz w:val="28"/>
          <w:szCs w:val="28"/>
        </w:rPr>
      </w:pPr>
      <w:r>
        <w:rPr>
          <w:rFonts w:ascii="宋体" w:hAnsi="宋体" w:cs="宋体"/>
          <w:b/>
          <w:color w:val="333333"/>
          <w:sz w:val="28"/>
          <w:szCs w:val="28"/>
        </w:rPr>
        <w:br w:type="page"/>
      </w:r>
    </w:p>
    <w:p>
      <w:pPr>
        <w:spacing w:after="0" w:line="500" w:lineRule="exact"/>
        <w:ind w:right="705"/>
        <w:jc w:val="center"/>
        <w:rPr>
          <w:rFonts w:ascii="宋体" w:hAnsi="宋体" w:cs="宋体"/>
          <w:b/>
          <w:color w:val="333333"/>
          <w:sz w:val="28"/>
          <w:szCs w:val="28"/>
        </w:rPr>
      </w:pPr>
      <w:r>
        <w:rPr>
          <w:rFonts w:hint="eastAsia" w:ascii="宋体" w:hAnsi="宋体" w:cs="宋体"/>
          <w:b/>
          <w:color w:val="333333"/>
          <w:sz w:val="28"/>
          <w:szCs w:val="28"/>
        </w:rPr>
        <w:t>第三部分  财务管理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（占专业课</w:t>
      </w:r>
      <w:r>
        <w:rPr>
          <w:rFonts w:hint="eastAsia" w:ascii="宋体" w:hAnsi="宋体" w:cs="宋体"/>
          <w:b/>
          <w:color w:val="333333"/>
          <w:sz w:val="28"/>
          <w:szCs w:val="28"/>
          <w:lang w:val="en-US" w:eastAsia="zh-CN"/>
        </w:rPr>
        <w:t>20%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）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第一章  总论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财务管理的概念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财务管理的目标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财务管理的环境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第二章  财务估值的基础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货币时间价值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风险和收益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证券估值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第三章  财务分析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偿债能力分析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营运能力分析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获利能力分析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发展能力分析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第五节  综合财务分析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第四章  长期筹资决策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资本成本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资本结构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普通股筹资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第四节  长期负债筹资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第五章  投资决策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投资的概念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投资的现金流量分析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投资决策评价指标及其计算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第六章  营运资金管理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短期资产管理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短期筹资管理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第七章  股利分配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第一节  利润分配概述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第二节  股利支付的程序和方式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第三节  股利理论与股利分配政策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cs="宋体" w:asciiTheme="minorEastAsia" w:hAnsiTheme="minorEastAsia" w:eastAsiaTheme="minorEastAsia"/>
          <w:color w:val="333333"/>
          <w:sz w:val="28"/>
          <w:szCs w:val="28"/>
        </w:rPr>
        <w:br w:type="page"/>
      </w:r>
    </w:p>
    <w:p>
      <w:pPr>
        <w:spacing w:after="0" w:line="500" w:lineRule="exact"/>
        <w:ind w:right="705"/>
        <w:jc w:val="center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第四部分  审  计（占专业课</w:t>
      </w:r>
      <w:r>
        <w:rPr>
          <w:rFonts w:hint="eastAsia" w:ascii="宋体" w:hAnsi="宋体" w:cs="宋体"/>
          <w:b/>
          <w:color w:val="333333"/>
          <w:sz w:val="28"/>
          <w:szCs w:val="28"/>
          <w:lang w:val="en-US" w:eastAsia="zh-CN"/>
        </w:rPr>
        <w:t>10%</w:t>
      </w:r>
      <w:r>
        <w:rPr>
          <w:rFonts w:hint="eastAsia" w:ascii="宋体" w:hAnsi="宋体" w:cs="宋体"/>
          <w:b/>
          <w:color w:val="333333"/>
          <w:sz w:val="28"/>
          <w:szCs w:val="28"/>
          <w:lang w:eastAsia="zh-CN"/>
        </w:rPr>
        <w:t>）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第一章  总论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第一节  审计的定义和特征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第二节  审计的职能和作用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第三节  审计的分类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第四节  审计准则、职业道德和法律责任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第二章  财务报表审计的核心概念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第一节  审计目标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第二节  重要性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第三节  审计风险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第四节  审计证据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第五节  审计程序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第三章  财务报表审计的思路和步骤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第一节  风险导向审计的基本思路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第二节  风险评估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第三节  控制测试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第四节  实质性程序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第四章  主要业务循环的审计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第一节  销售与收款循环的审计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第二节  采购与付款循环的审计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第三节  </w:t>
      </w:r>
      <w:r>
        <w:rPr>
          <w:rFonts w:cs="宋体" w:asciiTheme="minorEastAsia" w:hAnsiTheme="minorEastAsia" w:eastAsiaTheme="minorEastAsia"/>
          <w:color w:val="333333"/>
          <w:sz w:val="28"/>
          <w:szCs w:val="28"/>
        </w:rPr>
        <w:t>生产与职工薪酬循环</w:t>
      </w: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的</w:t>
      </w:r>
      <w:r>
        <w:rPr>
          <w:rFonts w:cs="宋体" w:asciiTheme="minorEastAsia" w:hAnsiTheme="minorEastAsia" w:eastAsiaTheme="minorEastAsia"/>
          <w:color w:val="333333"/>
          <w:sz w:val="28"/>
          <w:szCs w:val="28"/>
        </w:rPr>
        <w:t>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第四节  </w:t>
      </w:r>
      <w:r>
        <w:rPr>
          <w:rFonts w:cs="宋体" w:asciiTheme="minorEastAsia" w:hAnsiTheme="minorEastAsia" w:eastAsiaTheme="minorEastAsia"/>
          <w:color w:val="333333"/>
          <w:sz w:val="28"/>
          <w:szCs w:val="28"/>
        </w:rPr>
        <w:t>筹资与投资循环</w:t>
      </w: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的</w:t>
      </w:r>
      <w:r>
        <w:rPr>
          <w:rFonts w:cs="宋体" w:asciiTheme="minorEastAsia" w:hAnsiTheme="minorEastAsia" w:eastAsiaTheme="minorEastAsia"/>
          <w:color w:val="333333"/>
          <w:sz w:val="28"/>
          <w:szCs w:val="28"/>
        </w:rPr>
        <w:t>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    第五节  货币资金与特殊项目的审计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>第五章  审计报告</w:t>
      </w:r>
    </w:p>
    <w:p>
      <w:pPr>
        <w:spacing w:after="0" w:line="500" w:lineRule="exact"/>
        <w:ind w:left="1425" w:right="703" w:hanging="825"/>
        <w:rPr>
          <w:rFonts w:cs="宋体" w:asciiTheme="minorEastAsia" w:hAnsiTheme="minorEastAsia" w:eastAsiaTheme="minorEastAsia"/>
          <w:color w:val="333333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第一节  审计意见的形成和类型</w:t>
      </w:r>
    </w:p>
    <w:p>
      <w:pPr>
        <w:spacing w:after="0" w:line="500" w:lineRule="exact"/>
        <w:ind w:left="1425" w:right="703" w:hanging="825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color w:val="333333"/>
          <w:sz w:val="28"/>
          <w:szCs w:val="28"/>
        </w:rPr>
        <w:t xml:space="preserve">    第二节  标准审计报告的结构和内</w:t>
      </w:r>
      <w:r>
        <w:rPr>
          <w:rFonts w:hint="eastAsia" w:asciiTheme="minorEastAsia" w:hAnsiTheme="minorEastAsia" w:eastAsiaTheme="minorEastAsia"/>
          <w:sz w:val="28"/>
          <w:szCs w:val="28"/>
        </w:rPr>
        <w:t>容</w:t>
      </w:r>
    </w:p>
    <w:p>
      <w:pPr>
        <w:spacing w:after="0" w:line="500" w:lineRule="exact"/>
        <w:ind w:firstLine="552"/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第三节  非标准审计报告的结构和内容</w:t>
      </w:r>
    </w:p>
    <w:sectPr>
      <w:footerReference r:id="rId5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976463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193D22"/>
    <w:multiLevelType w:val="multilevel"/>
    <w:tmpl w:val="47193D22"/>
    <w:lvl w:ilvl="0" w:tentative="0">
      <w:start w:val="1"/>
      <w:numFmt w:val="japaneseCounting"/>
      <w:lvlText w:val="第%1节"/>
      <w:lvlJc w:val="left"/>
      <w:pPr>
        <w:ind w:left="2103" w:hanging="111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95" w:hanging="420"/>
      </w:pPr>
    </w:lvl>
    <w:lvl w:ilvl="2" w:tentative="0">
      <w:start w:val="1"/>
      <w:numFmt w:val="lowerRoman"/>
      <w:lvlText w:val="%3."/>
      <w:lvlJc w:val="right"/>
      <w:pPr>
        <w:ind w:left="1815" w:hanging="420"/>
      </w:pPr>
    </w:lvl>
    <w:lvl w:ilvl="3" w:tentative="0">
      <w:start w:val="1"/>
      <w:numFmt w:val="decimal"/>
      <w:lvlText w:val="%4."/>
      <w:lvlJc w:val="left"/>
      <w:pPr>
        <w:ind w:left="2235" w:hanging="420"/>
      </w:pPr>
    </w:lvl>
    <w:lvl w:ilvl="4" w:tentative="0">
      <w:start w:val="1"/>
      <w:numFmt w:val="lowerLetter"/>
      <w:lvlText w:val="%5)"/>
      <w:lvlJc w:val="left"/>
      <w:pPr>
        <w:ind w:left="2655" w:hanging="420"/>
      </w:pPr>
    </w:lvl>
    <w:lvl w:ilvl="5" w:tentative="0">
      <w:start w:val="1"/>
      <w:numFmt w:val="lowerRoman"/>
      <w:lvlText w:val="%6."/>
      <w:lvlJc w:val="right"/>
      <w:pPr>
        <w:ind w:left="3075" w:hanging="420"/>
      </w:pPr>
    </w:lvl>
    <w:lvl w:ilvl="6" w:tentative="0">
      <w:start w:val="1"/>
      <w:numFmt w:val="decimal"/>
      <w:lvlText w:val="%7."/>
      <w:lvlJc w:val="left"/>
      <w:pPr>
        <w:ind w:left="3495" w:hanging="420"/>
      </w:pPr>
    </w:lvl>
    <w:lvl w:ilvl="7" w:tentative="0">
      <w:start w:val="1"/>
      <w:numFmt w:val="lowerLetter"/>
      <w:lvlText w:val="%8)"/>
      <w:lvlJc w:val="left"/>
      <w:pPr>
        <w:ind w:left="3915" w:hanging="420"/>
      </w:pPr>
    </w:lvl>
    <w:lvl w:ilvl="8" w:tentative="0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NGQyN2VkMzIzMDBkODkwNWUwZTVkZGVhZGIxZGIifQ=="/>
  </w:docVars>
  <w:rsids>
    <w:rsidRoot w:val="00D31D50"/>
    <w:rsid w:val="000C7015"/>
    <w:rsid w:val="0010196C"/>
    <w:rsid w:val="002805C5"/>
    <w:rsid w:val="00323B43"/>
    <w:rsid w:val="003D37D8"/>
    <w:rsid w:val="00426133"/>
    <w:rsid w:val="004358AB"/>
    <w:rsid w:val="00445977"/>
    <w:rsid w:val="00465BCA"/>
    <w:rsid w:val="004A7250"/>
    <w:rsid w:val="005206E0"/>
    <w:rsid w:val="00807BCB"/>
    <w:rsid w:val="008B7726"/>
    <w:rsid w:val="00AC0CFE"/>
    <w:rsid w:val="00B00E04"/>
    <w:rsid w:val="00BA1D37"/>
    <w:rsid w:val="00D31D50"/>
    <w:rsid w:val="00F171A7"/>
    <w:rsid w:val="00F37F58"/>
    <w:rsid w:val="02FB2892"/>
    <w:rsid w:val="2E7A4412"/>
    <w:rsid w:val="31C22F83"/>
    <w:rsid w:val="36BD7B85"/>
    <w:rsid w:val="423C654C"/>
    <w:rsid w:val="4B04300E"/>
    <w:rsid w:val="53880E7A"/>
    <w:rsid w:val="69D8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widowControl w:val="0"/>
      <w:adjustRightInd/>
      <w:snapToGrid/>
      <w:spacing w:before="240" w:after="240" w:line="360" w:lineRule="auto"/>
      <w:jc w:val="center"/>
      <w:outlineLvl w:val="0"/>
    </w:pPr>
    <w:rPr>
      <w:rFonts w:ascii="Times New Roman" w:hAnsi="Times New Roman" w:eastAsia="华文中宋" w:cs="Times New Roman"/>
      <w:b/>
      <w:bCs/>
      <w:kern w:val="44"/>
      <w:sz w:val="36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标题 1 Char"/>
    <w:basedOn w:val="6"/>
    <w:link w:val="2"/>
    <w:autoRedefine/>
    <w:qFormat/>
    <w:uiPriority w:val="9"/>
    <w:rPr>
      <w:rFonts w:ascii="Times New Roman" w:hAnsi="Times New Roman" w:eastAsia="华文中宋" w:cs="Times New Roman"/>
      <w:b/>
      <w:bCs/>
      <w:kern w:val="44"/>
      <w:sz w:val="36"/>
      <w:szCs w:val="44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D8EFC1-B0CD-4B39-984A-119F8E8D4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1750</Words>
  <Characters>1759</Characters>
  <Lines>16</Lines>
  <Paragraphs>4</Paragraphs>
  <TotalTime>0</TotalTime>
  <ScaleCrop>false</ScaleCrop>
  <LinksUpToDate>false</LinksUpToDate>
  <CharactersWithSpaces>2248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1626</cp:lastModifiedBy>
  <cp:lastPrinted>2018-02-21T00:35:00Z</cp:lastPrinted>
  <dcterms:modified xsi:type="dcterms:W3CDTF">2024-03-23T00:01:52Z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02F3BADC2D8A4A159F15C55B6F52CE84</vt:lpwstr>
  </property>
</Properties>
</file>